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F3D7" w14:textId="77777777" w:rsidR="002A4A35" w:rsidRPr="002A4A35" w:rsidRDefault="002A4A35" w:rsidP="002A4A35">
      <w:pPr>
        <w:jc w:val="center"/>
        <w:rPr>
          <w:b/>
          <w:bCs/>
          <w:sz w:val="28"/>
          <w:szCs w:val="28"/>
        </w:rPr>
      </w:pPr>
      <w:r w:rsidRPr="6E83779D">
        <w:rPr>
          <w:b/>
          <w:bCs/>
          <w:sz w:val="28"/>
          <w:szCs w:val="28"/>
        </w:rPr>
        <w:t>Deklarācija par komercsabiedrības atbilstību mazajai (sīkajai) vai</w:t>
      </w:r>
      <w:r>
        <w:br/>
      </w:r>
      <w:r w:rsidRPr="6E83779D">
        <w:rPr>
          <w:b/>
          <w:bCs/>
          <w:sz w:val="28"/>
          <w:szCs w:val="28"/>
        </w:rPr>
        <w:t>vidējai komercsabiedrībai</w:t>
      </w:r>
    </w:p>
    <w:p w14:paraId="4483659B" w14:textId="77777777" w:rsidR="002A4A35" w:rsidRPr="002A4A35" w:rsidRDefault="002A4A35" w:rsidP="002A4A35">
      <w:pPr>
        <w:rPr>
          <w:sz w:val="28"/>
          <w:szCs w:val="28"/>
        </w:rPr>
      </w:pPr>
      <w:r w:rsidRPr="6E83779D">
        <w:rPr>
          <w:sz w:val="28"/>
          <w:szCs w:val="28"/>
        </w:rPr>
        <w:t> </w:t>
      </w:r>
    </w:p>
    <w:p w14:paraId="7FDDD7BA" w14:textId="77777777" w:rsidR="002A4A35" w:rsidRDefault="002A4A35" w:rsidP="002A4A35">
      <w:pPr>
        <w:rPr>
          <w:b/>
          <w:bCs/>
          <w:sz w:val="24"/>
          <w:szCs w:val="24"/>
        </w:rPr>
      </w:pPr>
      <w:r w:rsidRPr="6E83779D">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6E83779D">
        <w:tc>
          <w:tcPr>
            <w:tcW w:w="2518" w:type="dxa"/>
          </w:tcPr>
          <w:p w14:paraId="1F11FABF" w14:textId="77777777" w:rsidR="002A4A35" w:rsidRDefault="002A4A35" w:rsidP="006661E9">
            <w:pPr>
              <w:rPr>
                <w:b/>
                <w:bCs/>
                <w:sz w:val="24"/>
                <w:szCs w:val="24"/>
              </w:rPr>
            </w:pPr>
            <w:r w:rsidRPr="6E83779D">
              <w:rPr>
                <w:sz w:val="24"/>
                <w:szCs w:val="24"/>
              </w:rPr>
              <w:t>Vārds, uzvārds vai nosaukums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6E83779D">
        <w:tc>
          <w:tcPr>
            <w:tcW w:w="2518" w:type="dxa"/>
          </w:tcPr>
          <w:p w14:paraId="58373C47" w14:textId="77777777" w:rsidR="002A4A35" w:rsidRDefault="002A4A35" w:rsidP="006661E9">
            <w:pPr>
              <w:rPr>
                <w:b/>
                <w:bCs/>
                <w:sz w:val="24"/>
                <w:szCs w:val="24"/>
              </w:rPr>
            </w:pPr>
            <w:r w:rsidRPr="6E83779D">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6E83779D">
        <w:tc>
          <w:tcPr>
            <w:tcW w:w="2518" w:type="dxa"/>
          </w:tcPr>
          <w:p w14:paraId="73A03266" w14:textId="77777777" w:rsidR="002A4A35" w:rsidRDefault="002A4A35" w:rsidP="006661E9">
            <w:pPr>
              <w:rPr>
                <w:b/>
                <w:bCs/>
                <w:sz w:val="24"/>
                <w:szCs w:val="24"/>
              </w:rPr>
            </w:pPr>
            <w:r w:rsidRPr="6E83779D">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0B5719" w14:paraId="6D07BA34" w14:textId="77777777" w:rsidTr="6E83779D">
        <w:tc>
          <w:tcPr>
            <w:tcW w:w="2518" w:type="dxa"/>
          </w:tcPr>
          <w:p w14:paraId="22FFE926" w14:textId="77777777" w:rsidR="002A4A35" w:rsidRPr="001D69B2" w:rsidRDefault="002A4A35" w:rsidP="006661E9">
            <w:pPr>
              <w:rPr>
                <w:b/>
                <w:bCs/>
                <w:sz w:val="24"/>
                <w:szCs w:val="24"/>
                <w:lang w:val="fr-FR"/>
              </w:rPr>
            </w:pPr>
            <w:r w:rsidRPr="6E83779D">
              <w:rPr>
                <w:sz w:val="24"/>
                <w:szCs w:val="24"/>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6E83779D">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6E83779D">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6E83779D">
        <w:rPr>
          <w:b/>
          <w:bCs/>
          <w:sz w:val="24"/>
          <w:szCs w:val="24"/>
        </w:rPr>
        <w:t xml:space="preserve">2. Komercsabiedrības tips </w:t>
      </w:r>
      <w:r w:rsidRPr="6E83779D">
        <w:rPr>
          <w:sz w:val="24"/>
          <w:szCs w:val="24"/>
        </w:rPr>
        <w:t>(vajadzīgo atzīmēt ar X)</w:t>
      </w:r>
    </w:p>
    <w:p w14:paraId="1894FE88"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2A4A35" w:rsidRPr="00687AD7" w14:paraId="2D774377" w14:textId="77777777" w:rsidTr="6E83779D">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6E83779D">
              <w:rPr>
                <w:sz w:val="24"/>
                <w:szCs w:val="24"/>
              </w:rPr>
              <w:t> </w:t>
            </w:r>
            <w:r>
              <w:rPr>
                <w:noProof/>
              </w:rPr>
              <w:drawing>
                <wp:inline distT="0" distB="0" distL="0" distR="0" wp14:anchorId="1AAACE12" wp14:editId="755F4924">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77777777" w:rsidR="002A4A35" w:rsidRPr="009341D3" w:rsidRDefault="002A4A35" w:rsidP="006661E9">
            <w:pPr>
              <w:rPr>
                <w:sz w:val="24"/>
                <w:szCs w:val="24"/>
              </w:rPr>
            </w:pPr>
            <w:r w:rsidRPr="6E83779D">
              <w:rPr>
                <w:sz w:val="24"/>
                <w:szCs w:val="24"/>
              </w:rPr>
              <w:t> Nepieciešamos datus iegūst tikai no iesniedzējkomercsabiedrības gada pārskatiem. Aizpilda tikai deklarāciju (bez pielikuma)</w:t>
            </w:r>
          </w:p>
        </w:tc>
      </w:tr>
      <w:tr w:rsidR="002A4A35" w:rsidRPr="00687AD7" w14:paraId="2D363BA8" w14:textId="77777777" w:rsidTr="6E83779D">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6E83779D">
              <w:rPr>
                <w:sz w:val="24"/>
                <w:szCs w:val="24"/>
              </w:rPr>
              <w:t> </w:t>
            </w:r>
            <w:r>
              <w:rPr>
                <w:noProof/>
              </w:rPr>
              <w:drawing>
                <wp:inline distT="0" distB="0" distL="0" distR="0" wp14:anchorId="79762385" wp14:editId="177471B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3C589418" w14:textId="77777777" w:rsidR="002A4A35" w:rsidRPr="009341D3" w:rsidRDefault="002A4A35" w:rsidP="006661E9">
            <w:pPr>
              <w:rPr>
                <w:sz w:val="24"/>
                <w:szCs w:val="24"/>
              </w:rPr>
            </w:pPr>
            <w:r w:rsidRPr="6E83779D">
              <w:rPr>
                <w:sz w:val="24"/>
                <w:szCs w:val="24"/>
              </w:rPr>
              <w:t> Aizpilda pielikumu</w:t>
            </w:r>
            <w:r w:rsidRPr="6E83779D">
              <w:rPr>
                <w:sz w:val="24"/>
                <w:szCs w:val="24"/>
                <w:vertAlign w:val="superscript"/>
              </w:rPr>
              <w:t>1</w:t>
            </w:r>
            <w:r w:rsidRPr="6E83779D">
              <w:rPr>
                <w:sz w:val="24"/>
                <w:szCs w:val="24"/>
              </w:rPr>
              <w:t xml:space="preserve"> (ja nepieciešams, aizpilda arī papildlapas), tad aizpilda deklarāciju, aprēķinu rezultātus norādot tabulā</w:t>
            </w:r>
          </w:p>
        </w:tc>
      </w:tr>
      <w:tr w:rsidR="002A4A35" w:rsidRPr="00687AD7" w14:paraId="1EFE522F"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2A4A35" w:rsidRPr="009341D3" w:rsidRDefault="002A4A35" w:rsidP="006661E9">
            <w:pPr>
              <w:rPr>
                <w:sz w:val="24"/>
                <w:szCs w:val="24"/>
              </w:rPr>
            </w:pPr>
            <w:r w:rsidRPr="6E83779D">
              <w:rPr>
                <w:sz w:val="24"/>
                <w:szCs w:val="24"/>
              </w:rPr>
              <w:t> </w:t>
            </w:r>
            <w:r>
              <w:rPr>
                <w:noProof/>
              </w:rPr>
              <w:drawing>
                <wp:inline distT="0" distB="0" distL="0" distR="0" wp14:anchorId="0CBE8896" wp14:editId="5BAC6F11">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Saistīta komercsabiedrība</w:t>
            </w:r>
          </w:p>
        </w:tc>
        <w:tc>
          <w:tcPr>
            <w:tcW w:w="0" w:type="auto"/>
            <w:vMerge/>
            <w:vAlign w:val="center"/>
          </w:tcPr>
          <w:p w14:paraId="261216B8" w14:textId="77777777" w:rsidR="002A4A35" w:rsidRPr="009341D3" w:rsidRDefault="002A4A35" w:rsidP="006661E9">
            <w:pPr>
              <w:rPr>
                <w:sz w:val="24"/>
                <w:szCs w:val="24"/>
              </w:rPr>
            </w:pPr>
          </w:p>
        </w:tc>
      </w:tr>
    </w:tbl>
    <w:p w14:paraId="1DA3978A" w14:textId="77777777" w:rsidR="002A4A35" w:rsidRPr="009341D3" w:rsidRDefault="002A4A35" w:rsidP="002A4A35">
      <w:pPr>
        <w:rPr>
          <w:sz w:val="24"/>
          <w:szCs w:val="24"/>
        </w:rPr>
      </w:pPr>
      <w:r w:rsidRPr="6E83779D">
        <w:rPr>
          <w:b/>
          <w:bCs/>
          <w:sz w:val="24"/>
          <w:szCs w:val="24"/>
        </w:rPr>
        <w:t> </w:t>
      </w:r>
    </w:p>
    <w:p w14:paraId="27F94108"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1</w:t>
      </w:r>
      <w:r w:rsidRPr="6E83779D">
        <w:rPr>
          <w:sz w:val="24"/>
          <w:szCs w:val="24"/>
        </w:rPr>
        <w:t> Atbilstoši Ministru kabineta 2014. gada 16. decembra noteikumu Nr. 776 "Kārtība, kādā komercsabiedrības deklarē savu atbilstību mazās (sīkās) un vidējās komercsabiedrības statusam" 2. pielikumam.</w:t>
      </w:r>
    </w:p>
    <w:p w14:paraId="204096B7" w14:textId="77777777" w:rsidR="002A4A35" w:rsidRPr="009341D3" w:rsidRDefault="002A4A35" w:rsidP="002A4A35">
      <w:pPr>
        <w:rPr>
          <w:sz w:val="24"/>
          <w:szCs w:val="24"/>
        </w:rPr>
      </w:pPr>
      <w:r w:rsidRPr="6E83779D">
        <w:rPr>
          <w:sz w:val="24"/>
          <w:szCs w:val="24"/>
        </w:rPr>
        <w:t> </w:t>
      </w:r>
    </w:p>
    <w:p w14:paraId="68E2B6E8" w14:textId="77777777" w:rsidR="002A4A35" w:rsidRPr="009341D3" w:rsidRDefault="002A4A35" w:rsidP="002A4A35">
      <w:pPr>
        <w:rPr>
          <w:sz w:val="24"/>
          <w:szCs w:val="24"/>
        </w:rPr>
      </w:pPr>
      <w:r w:rsidRPr="6E83779D">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6E83779D">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2A4A35" w:rsidRPr="00687AD7" w14:paraId="3E29ACE6" w14:textId="77777777" w:rsidTr="6E83779D">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6E83779D">
              <w:rPr>
                <w:sz w:val="24"/>
                <w:szCs w:val="24"/>
              </w:rPr>
              <w:t>Gada bilances kopsumma (EUR)</w:t>
            </w:r>
          </w:p>
        </w:tc>
      </w:tr>
      <w:tr w:rsidR="002A4A35" w:rsidRPr="00687AD7" w14:paraId="11F1DD9E"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6E83779D">
              <w:rPr>
                <w:sz w:val="24"/>
                <w:szCs w:val="24"/>
              </w:rPr>
              <w:t> </w:t>
            </w:r>
          </w:p>
        </w:tc>
      </w:tr>
      <w:tr w:rsidR="002A4A35" w:rsidRPr="00687AD7" w14:paraId="6166BF39"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6E83779D">
              <w:rPr>
                <w:sz w:val="24"/>
                <w:szCs w:val="24"/>
              </w:rPr>
              <w:t> </w:t>
            </w:r>
          </w:p>
        </w:tc>
      </w:tr>
    </w:tbl>
    <w:p w14:paraId="3DC2D5C8" w14:textId="77777777" w:rsidR="002A4A35" w:rsidRPr="009341D3" w:rsidRDefault="002A4A35" w:rsidP="002A4A35">
      <w:pPr>
        <w:rPr>
          <w:sz w:val="24"/>
          <w:szCs w:val="24"/>
        </w:rPr>
      </w:pPr>
      <w:r w:rsidRPr="6E83779D">
        <w:rPr>
          <w:sz w:val="24"/>
          <w:szCs w:val="24"/>
        </w:rPr>
        <w:t> </w:t>
      </w:r>
    </w:p>
    <w:p w14:paraId="76903EF5"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2</w:t>
      </w:r>
      <w:r w:rsidRPr="6E83779D">
        <w:rPr>
          <w:sz w:val="24"/>
          <w:szCs w:val="24"/>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16CC2D06" w14:textId="77777777" w:rsidR="002A4A35" w:rsidRPr="009341D3" w:rsidRDefault="002A4A35" w:rsidP="002A4A35">
      <w:pPr>
        <w:rPr>
          <w:sz w:val="24"/>
          <w:szCs w:val="24"/>
        </w:rPr>
      </w:pPr>
      <w:r w:rsidRPr="6E83779D">
        <w:rPr>
          <w:sz w:val="24"/>
          <w:szCs w:val="24"/>
        </w:rPr>
        <w:t> </w:t>
      </w:r>
    </w:p>
    <w:p w14:paraId="31E807F0" w14:textId="77777777" w:rsidR="002A4A35" w:rsidRDefault="002A4A35" w:rsidP="002A4A35">
      <w:pPr>
        <w:rPr>
          <w:b/>
          <w:bCs/>
          <w:sz w:val="24"/>
          <w:szCs w:val="24"/>
        </w:rPr>
      </w:pPr>
      <w:r w:rsidRPr="6E83779D">
        <w:rPr>
          <w:b/>
          <w:bCs/>
          <w:sz w:val="24"/>
          <w:szCs w:val="24"/>
        </w:rPr>
        <w:br w:type="page"/>
      </w:r>
    </w:p>
    <w:p w14:paraId="2D8543FA" w14:textId="77777777" w:rsidR="002A4A35" w:rsidRPr="009341D3" w:rsidRDefault="002A4A35" w:rsidP="002A4A35">
      <w:pPr>
        <w:rPr>
          <w:sz w:val="24"/>
          <w:szCs w:val="24"/>
        </w:rPr>
      </w:pPr>
      <w:r w:rsidRPr="6E83779D">
        <w:rPr>
          <w:b/>
          <w:bCs/>
          <w:sz w:val="24"/>
          <w:szCs w:val="24"/>
        </w:rPr>
        <w:lastRenderedPageBreak/>
        <w:t>4. Skaidrojumi par deklarācijas aizpildīšanas īpašajiem gadījumiem</w:t>
      </w:r>
      <w:r w:rsidRPr="6E83779D">
        <w:rPr>
          <w:sz w:val="24"/>
          <w:szCs w:val="24"/>
          <w:vertAlign w:val="superscript"/>
        </w:rPr>
        <w:t>3</w:t>
      </w:r>
    </w:p>
    <w:p w14:paraId="6C8D93BA"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6E83779D">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6E83779D">
              <w:rPr>
                <w:sz w:val="24"/>
                <w:szCs w:val="24"/>
              </w:rPr>
              <w:t>  </w:t>
            </w:r>
          </w:p>
          <w:p w14:paraId="74C1EEA5" w14:textId="77777777" w:rsidR="002A4A35" w:rsidRPr="009341D3" w:rsidRDefault="002A4A35" w:rsidP="006661E9">
            <w:pPr>
              <w:rPr>
                <w:sz w:val="24"/>
                <w:szCs w:val="24"/>
              </w:rPr>
            </w:pPr>
            <w:r w:rsidRPr="6E83779D">
              <w:rPr>
                <w:sz w:val="24"/>
                <w:szCs w:val="24"/>
              </w:rPr>
              <w:t> </w:t>
            </w:r>
          </w:p>
          <w:p w14:paraId="4EED33F7" w14:textId="77777777" w:rsidR="002A4A35" w:rsidRPr="009341D3" w:rsidRDefault="002A4A35" w:rsidP="006661E9">
            <w:pPr>
              <w:rPr>
                <w:sz w:val="24"/>
                <w:szCs w:val="24"/>
              </w:rPr>
            </w:pPr>
            <w:r w:rsidRPr="6E83779D">
              <w:rPr>
                <w:sz w:val="24"/>
                <w:szCs w:val="24"/>
              </w:rPr>
              <w:t> </w:t>
            </w:r>
          </w:p>
        </w:tc>
      </w:tr>
    </w:tbl>
    <w:p w14:paraId="07428318" w14:textId="77777777" w:rsidR="002A4A35" w:rsidRPr="009341D3" w:rsidRDefault="002A4A35" w:rsidP="002A4A35">
      <w:pPr>
        <w:rPr>
          <w:sz w:val="24"/>
          <w:szCs w:val="24"/>
        </w:rPr>
      </w:pPr>
      <w:r w:rsidRPr="6E83779D">
        <w:rPr>
          <w:sz w:val="24"/>
          <w:szCs w:val="24"/>
        </w:rPr>
        <w:t> </w:t>
      </w:r>
    </w:p>
    <w:p w14:paraId="1DABE29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3</w:t>
      </w:r>
      <w:r w:rsidRPr="6E83779D">
        <w:rPr>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6E83779D">
        <w:rPr>
          <w:b/>
          <w:bCs/>
          <w:sz w:val="24"/>
          <w:szCs w:val="24"/>
        </w:rPr>
        <w:t xml:space="preserve"> </w:t>
      </w:r>
      <w:r w:rsidRPr="6E83779D">
        <w:rPr>
          <w:sz w:val="24"/>
          <w:szCs w:val="24"/>
        </w:rPr>
        <w:t>3. panta 2.  un 5. punktā minētās komercsabiedrības, kā arī citos gadījumos, ja tas nepieciešams.</w:t>
      </w:r>
    </w:p>
    <w:p w14:paraId="6620C7DE" w14:textId="77777777" w:rsidR="002A4A35" w:rsidRPr="009341D3" w:rsidRDefault="002A4A35" w:rsidP="002A4A35">
      <w:pPr>
        <w:rPr>
          <w:sz w:val="24"/>
          <w:szCs w:val="24"/>
        </w:rPr>
      </w:pPr>
      <w:r w:rsidRPr="6E83779D">
        <w:rPr>
          <w:sz w:val="24"/>
          <w:szCs w:val="24"/>
        </w:rPr>
        <w:t>  </w:t>
      </w:r>
    </w:p>
    <w:p w14:paraId="12A08A02" w14:textId="77777777" w:rsidR="002A4A35" w:rsidRDefault="002A4A35" w:rsidP="002A4A35">
      <w:pPr>
        <w:rPr>
          <w:sz w:val="24"/>
          <w:szCs w:val="24"/>
        </w:rPr>
      </w:pPr>
      <w:r w:rsidRPr="6E83779D">
        <w:rPr>
          <w:b/>
          <w:bCs/>
          <w:sz w:val="24"/>
          <w:szCs w:val="24"/>
        </w:rPr>
        <w:t xml:space="preserve">5. Komercsabiedrības kategorija </w:t>
      </w:r>
      <w:r w:rsidRPr="6E83779D">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6E83779D">
              <w:rPr>
                <w:sz w:val="24"/>
                <w:szCs w:val="24"/>
              </w:rPr>
              <w:t> </w:t>
            </w:r>
            <w:r>
              <w:rPr>
                <w:noProof/>
              </w:rPr>
              <w:drawing>
                <wp:inline distT="0" distB="0" distL="0" distR="0" wp14:anchorId="53B0BC60" wp14:editId="1A40915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6E83779D">
              <w:rPr>
                <w:sz w:val="24"/>
                <w:szCs w:val="24"/>
              </w:rPr>
              <w:t> Atbilstoši Komisijas regulas Nr. 651/2014 I pielikuma 2. pantam</w:t>
            </w:r>
          </w:p>
        </w:tc>
      </w:tr>
      <w:tr w:rsidR="002A4A35" w:rsidRPr="00687AD7" w14:paraId="5A989A95"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6E83779D">
              <w:rPr>
                <w:sz w:val="24"/>
                <w:szCs w:val="24"/>
              </w:rPr>
              <w:t> </w:t>
            </w:r>
            <w:r>
              <w:rPr>
                <w:noProof/>
              </w:rPr>
              <w:drawing>
                <wp:inline distT="0" distB="0" distL="0" distR="0" wp14:anchorId="7758DA0D" wp14:editId="0EFFC52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Mazā</w:t>
            </w:r>
          </w:p>
        </w:tc>
        <w:tc>
          <w:tcPr>
            <w:tcW w:w="0" w:type="auto"/>
            <w:vMerge/>
            <w:vAlign w:val="center"/>
          </w:tcPr>
          <w:p w14:paraId="42E15C24" w14:textId="77777777" w:rsidR="002A4A35" w:rsidRPr="009341D3" w:rsidRDefault="002A4A35" w:rsidP="006661E9">
            <w:pPr>
              <w:rPr>
                <w:sz w:val="24"/>
                <w:szCs w:val="24"/>
              </w:rPr>
            </w:pPr>
          </w:p>
        </w:tc>
      </w:tr>
      <w:tr w:rsidR="002A4A35" w:rsidRPr="00687AD7" w14:paraId="7564DDFC"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6E83779D">
              <w:rPr>
                <w:sz w:val="24"/>
                <w:szCs w:val="24"/>
              </w:rPr>
              <w:t> </w:t>
            </w:r>
            <w:r>
              <w:rPr>
                <w:noProof/>
              </w:rPr>
              <w:drawing>
                <wp:inline distT="0" distB="0" distL="0" distR="0" wp14:anchorId="178DB478" wp14:editId="507F95B4">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Vidējā</w:t>
            </w:r>
          </w:p>
        </w:tc>
        <w:tc>
          <w:tcPr>
            <w:tcW w:w="0" w:type="auto"/>
            <w:vMerge/>
            <w:vAlign w:val="center"/>
          </w:tcPr>
          <w:p w14:paraId="62411238" w14:textId="77777777" w:rsidR="002A4A35" w:rsidRPr="009341D3" w:rsidRDefault="002A4A35" w:rsidP="006661E9">
            <w:pPr>
              <w:rPr>
                <w:sz w:val="24"/>
                <w:szCs w:val="24"/>
              </w:rPr>
            </w:pPr>
          </w:p>
        </w:tc>
      </w:tr>
      <w:tr w:rsidR="002A4A35" w:rsidRPr="00687AD7" w14:paraId="5008E765"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6E83779D">
              <w:rPr>
                <w:sz w:val="24"/>
                <w:szCs w:val="24"/>
              </w:rPr>
              <w:t> </w:t>
            </w:r>
            <w:r>
              <w:rPr>
                <w:noProof/>
              </w:rPr>
              <w:drawing>
                <wp:inline distT="0" distB="0" distL="0" distR="0" wp14:anchorId="6F51DD4C" wp14:editId="4D72AF8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6E83779D">
              <w:rPr>
                <w:sz w:val="24"/>
                <w:szCs w:val="24"/>
              </w:rPr>
              <w:t> Neatbilst nevienam no iepriekš minētajiem variantiem</w:t>
            </w:r>
          </w:p>
        </w:tc>
      </w:tr>
    </w:tbl>
    <w:p w14:paraId="00A1E057" w14:textId="77777777" w:rsidR="002A4A35" w:rsidRPr="009341D3" w:rsidRDefault="002A4A35" w:rsidP="002A4A35">
      <w:pPr>
        <w:rPr>
          <w:sz w:val="24"/>
          <w:szCs w:val="24"/>
        </w:rPr>
      </w:pPr>
      <w:r w:rsidRPr="6E83779D">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6E83779D">
        <w:tc>
          <w:tcPr>
            <w:tcW w:w="3600" w:type="dxa"/>
          </w:tcPr>
          <w:p w14:paraId="5D282A7E" w14:textId="77777777" w:rsidR="002A4A35" w:rsidRPr="009341D3" w:rsidRDefault="002A4A35" w:rsidP="006661E9">
            <w:pPr>
              <w:rPr>
                <w:sz w:val="24"/>
                <w:szCs w:val="24"/>
              </w:rPr>
            </w:pPr>
            <w:r w:rsidRPr="6E83779D">
              <w:rPr>
                <w:b/>
                <w:bCs/>
                <w:sz w:val="24"/>
                <w:szCs w:val="24"/>
              </w:rPr>
              <w:t>Svarīgi!</w:t>
            </w:r>
          </w:p>
          <w:p w14:paraId="68F30927" w14:textId="77777777" w:rsidR="002A4A35" w:rsidRPr="009341D3" w:rsidRDefault="002A4A35" w:rsidP="006661E9">
            <w:pPr>
              <w:rPr>
                <w:sz w:val="24"/>
                <w:szCs w:val="24"/>
              </w:rPr>
            </w:pPr>
            <w:r w:rsidRPr="6E83779D">
              <w:rPr>
                <w:sz w:val="24"/>
                <w:szCs w:val="24"/>
              </w:rPr>
              <w:t>Vai</w:t>
            </w:r>
            <w:r w:rsidRPr="6E83779D">
              <w:rPr>
                <w:b/>
                <w:bCs/>
                <w:sz w:val="24"/>
                <w:szCs w:val="24"/>
              </w:rPr>
              <w:t xml:space="preserve"> </w:t>
            </w:r>
            <w:r w:rsidRPr="6E83779D">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6E83779D">
              <w:rPr>
                <w:sz w:val="24"/>
                <w:szCs w:val="24"/>
              </w:rPr>
              <w:t>  </w:t>
            </w:r>
          </w:p>
        </w:tc>
        <w:tc>
          <w:tcPr>
            <w:tcW w:w="4860" w:type="dxa"/>
          </w:tcPr>
          <w:p w14:paraId="43111585" w14:textId="77777777" w:rsidR="002A4A35" w:rsidRPr="009341D3" w:rsidRDefault="002A4A35" w:rsidP="006661E9">
            <w:pPr>
              <w:jc w:val="right"/>
              <w:rPr>
                <w:sz w:val="24"/>
                <w:szCs w:val="24"/>
              </w:rPr>
            </w:pPr>
            <w:r w:rsidRPr="6E83779D">
              <w:rPr>
                <w:sz w:val="24"/>
                <w:szCs w:val="24"/>
              </w:rPr>
              <w:t>  </w:t>
            </w:r>
          </w:p>
          <w:p w14:paraId="0173602B" w14:textId="77777777" w:rsidR="002A4A35" w:rsidRPr="009341D3" w:rsidRDefault="002A4A35" w:rsidP="006661E9">
            <w:pPr>
              <w:rPr>
                <w:sz w:val="24"/>
                <w:szCs w:val="24"/>
              </w:rPr>
            </w:pPr>
            <w:r>
              <w:rPr>
                <w:noProof/>
              </w:rPr>
              <w:drawing>
                <wp:inline distT="0" distB="0" distL="0" distR="0" wp14:anchorId="4B51E2EF" wp14:editId="7F7C448C">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Nē</w:t>
            </w:r>
          </w:p>
          <w:p w14:paraId="423D04B9" w14:textId="77777777" w:rsidR="002A4A35" w:rsidRPr="009341D3" w:rsidRDefault="002A4A35" w:rsidP="006661E9">
            <w:pPr>
              <w:rPr>
                <w:sz w:val="24"/>
                <w:szCs w:val="24"/>
              </w:rPr>
            </w:pPr>
            <w:r>
              <w:rPr>
                <w:noProof/>
              </w:rPr>
              <w:drawing>
                <wp:inline distT="0" distB="0" distL="0" distR="0" wp14:anchorId="6A769C74" wp14:editId="72CC3E2B">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Jā</w:t>
            </w:r>
            <w:r w:rsidRPr="6E83779D">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6E83779D">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0B5719" w14:paraId="5E32A9A4" w14:textId="77777777" w:rsidTr="6E83779D">
        <w:tc>
          <w:tcPr>
            <w:tcW w:w="2235" w:type="dxa"/>
          </w:tcPr>
          <w:p w14:paraId="1E2F184A" w14:textId="77777777" w:rsidR="002A4A35" w:rsidRPr="001D69B2" w:rsidRDefault="002A4A35" w:rsidP="006661E9">
            <w:pPr>
              <w:rPr>
                <w:sz w:val="24"/>
                <w:szCs w:val="24"/>
                <w:lang w:val="fr-FR"/>
              </w:rPr>
            </w:pPr>
            <w:r w:rsidRPr="6E83779D">
              <w:rPr>
                <w:b/>
                <w:bCs/>
                <w:sz w:val="24"/>
                <w:szCs w:val="24"/>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6E83779D">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6E83779D">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6E83779D">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6E83779D">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6E83779D">
        <w:trPr>
          <w:jc w:val="center"/>
        </w:trPr>
        <w:tc>
          <w:tcPr>
            <w:tcW w:w="4747" w:type="dxa"/>
          </w:tcPr>
          <w:p w14:paraId="2F79B673"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03857C64" w14:textId="77777777" w:rsidTr="6E83779D">
        <w:trPr>
          <w:jc w:val="center"/>
        </w:trPr>
        <w:tc>
          <w:tcPr>
            <w:tcW w:w="4747" w:type="dxa"/>
          </w:tcPr>
          <w:p w14:paraId="559D02E9" w14:textId="77777777" w:rsidR="002A4A35" w:rsidRPr="009341D3" w:rsidRDefault="002A4A35" w:rsidP="006661E9">
            <w:pPr>
              <w:jc w:val="center"/>
              <w:rPr>
                <w:sz w:val="24"/>
                <w:szCs w:val="24"/>
              </w:rPr>
            </w:pPr>
            <w:r w:rsidRPr="6E83779D">
              <w:rPr>
                <w:sz w:val="24"/>
                <w:szCs w:val="24"/>
              </w:rPr>
              <w:t> (paraksts</w:t>
            </w:r>
            <w:r w:rsidRPr="6E83779D">
              <w:rPr>
                <w:sz w:val="24"/>
                <w:szCs w:val="24"/>
                <w:vertAlign w:val="superscript"/>
              </w:rPr>
              <w:t>4</w:t>
            </w:r>
            <w:r w:rsidRPr="6E83779D">
              <w:rPr>
                <w:sz w:val="24"/>
                <w:szCs w:val="24"/>
              </w:rPr>
              <w:t>)</w:t>
            </w:r>
          </w:p>
        </w:tc>
      </w:tr>
      <w:tr w:rsidR="002A4A35" w:rsidRPr="00687AD7" w14:paraId="62D6D34B" w14:textId="77777777" w:rsidTr="6E83779D">
        <w:trPr>
          <w:jc w:val="center"/>
        </w:trPr>
        <w:tc>
          <w:tcPr>
            <w:tcW w:w="4747" w:type="dxa"/>
            <w:vAlign w:val="center"/>
          </w:tcPr>
          <w:p w14:paraId="3301B057"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2A1CE79A" w14:textId="77777777" w:rsidTr="6E83779D">
        <w:trPr>
          <w:jc w:val="center"/>
        </w:trPr>
        <w:tc>
          <w:tcPr>
            <w:tcW w:w="4747" w:type="dxa"/>
            <w:vAlign w:val="center"/>
          </w:tcPr>
          <w:p w14:paraId="6674CE58" w14:textId="77777777" w:rsidR="002A4A35" w:rsidRPr="009341D3" w:rsidRDefault="002A4A35" w:rsidP="006661E9">
            <w:pPr>
              <w:jc w:val="center"/>
              <w:rPr>
                <w:sz w:val="24"/>
                <w:szCs w:val="24"/>
              </w:rPr>
            </w:pPr>
            <w:r w:rsidRPr="6E83779D">
              <w:rPr>
                <w:sz w:val="24"/>
                <w:szCs w:val="24"/>
              </w:rPr>
              <w:t> (parakstīšanas datums un laiks</w:t>
            </w:r>
            <w:r w:rsidRPr="6E83779D">
              <w:rPr>
                <w:sz w:val="24"/>
                <w:szCs w:val="24"/>
                <w:vertAlign w:val="superscript"/>
              </w:rPr>
              <w:t>4</w:t>
            </w:r>
            <w:r w:rsidRPr="6E83779D">
              <w:rPr>
                <w:sz w:val="24"/>
                <w:szCs w:val="24"/>
              </w:rPr>
              <w:t>)</w:t>
            </w:r>
          </w:p>
        </w:tc>
      </w:tr>
    </w:tbl>
    <w:p w14:paraId="31EDCC6C" w14:textId="77777777" w:rsidR="002A4A35" w:rsidRPr="009341D3" w:rsidRDefault="002A4A35" w:rsidP="002A4A35">
      <w:pPr>
        <w:rPr>
          <w:sz w:val="24"/>
          <w:szCs w:val="24"/>
        </w:rPr>
      </w:pPr>
      <w:r w:rsidRPr="6E83779D">
        <w:rPr>
          <w:sz w:val="24"/>
          <w:szCs w:val="24"/>
        </w:rPr>
        <w:t> </w:t>
      </w:r>
    </w:p>
    <w:p w14:paraId="0AC81E0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4</w:t>
      </w:r>
      <w:r w:rsidRPr="6E83779D">
        <w:rPr>
          <w:sz w:val="24"/>
          <w:szCs w:val="24"/>
        </w:rPr>
        <w:t> Rekvizītus "paraksts" un "parakstīšanas datums un laiks"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6E83779D">
        <w:rPr>
          <w:sz w:val="24"/>
          <w:szCs w:val="24"/>
        </w:rPr>
        <w:t> </w:t>
      </w:r>
    </w:p>
    <w:p w14:paraId="20A2D9D2" w14:textId="77777777" w:rsidR="008F1109" w:rsidRPr="002A4A35" w:rsidRDefault="008F1109" w:rsidP="006953E9">
      <w:pPr>
        <w:jc w:val="both"/>
        <w:rPr>
          <w:sz w:val="22"/>
          <w:szCs w:val="22"/>
        </w:rPr>
      </w:pPr>
    </w:p>
    <w:sectPr w:rsidR="008F1109" w:rsidRPr="002A4A35"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DA74" w14:textId="77777777" w:rsidR="00D9096D" w:rsidRDefault="00D9096D">
      <w:r>
        <w:separator/>
      </w:r>
    </w:p>
  </w:endnote>
  <w:endnote w:type="continuationSeparator" w:id="0">
    <w:p w14:paraId="76182FA4" w14:textId="77777777" w:rsidR="00D9096D" w:rsidRDefault="00D9096D">
      <w:r>
        <w:continuationSeparator/>
      </w:r>
    </w:p>
  </w:endnote>
  <w:endnote w:type="continuationNotice" w:id="1">
    <w:p w14:paraId="319DA99B" w14:textId="77777777" w:rsidR="00D9096D" w:rsidRDefault="00D9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47B8" w14:textId="77777777" w:rsidR="00D9096D" w:rsidRDefault="00D9096D">
      <w:r>
        <w:separator/>
      </w:r>
    </w:p>
  </w:footnote>
  <w:footnote w:type="continuationSeparator" w:id="0">
    <w:p w14:paraId="7042EF7B" w14:textId="77777777" w:rsidR="00D9096D" w:rsidRDefault="00D9096D">
      <w:r>
        <w:continuationSeparator/>
      </w:r>
    </w:p>
  </w:footnote>
  <w:footnote w:type="continuationNotice" w:id="1">
    <w:p w14:paraId="00673C2C" w14:textId="77777777" w:rsidR="00D9096D" w:rsidRDefault="00D9096D"/>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F0113"/>
    <w:rsid w:val="00BF0127"/>
    <w:rsid w:val="00BF7CD5"/>
    <w:rsid w:val="00C0113E"/>
    <w:rsid w:val="00C061D4"/>
    <w:rsid w:val="00C074D9"/>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0BE2"/>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6E83779D"/>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1"/>
    <w:rsid w:val="6E83779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35CD-AB78-4EAB-92F7-A46C8BC4D48E}">
  <ds:schemaRefs>
    <ds:schemaRef ds:uri="http://schemas.microsoft.com/sharepoint/v3/contenttype/forms"/>
  </ds:schemaRefs>
</ds:datastoreItem>
</file>

<file path=customXml/itemProps4.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1820</Words>
  <Characters>1038</Characters>
  <Application>Microsoft Office Word</Application>
  <DocSecurity>0</DocSecurity>
  <Lines>8</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181</cp:revision>
  <cp:lastPrinted>2019-01-30T22:01:00Z</cp:lastPrinted>
  <dcterms:created xsi:type="dcterms:W3CDTF">2025-01-07T12:09:00Z</dcterms:created>
  <dcterms:modified xsi:type="dcterms:W3CDTF">2026-02-19T10:29:00Z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